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0BFE" w14:textId="77777777" w:rsidR="00AA0A13" w:rsidRPr="003B3365" w:rsidRDefault="00AA0A13" w:rsidP="00AA0A13">
      <w:pPr>
        <w:pBdr>
          <w:bottom w:val="single" w:sz="8" w:space="1" w:color="auto"/>
        </w:pBdr>
        <w:spacing w:before="480" w:after="240"/>
        <w:rPr>
          <w:b w:val="0"/>
          <w:color w:val="000000"/>
          <w:sz w:val="24"/>
          <w:szCs w:val="24"/>
        </w:rPr>
      </w:pPr>
      <w:r w:rsidRPr="003B3365">
        <w:rPr>
          <w:color w:val="000000"/>
          <w:sz w:val="24"/>
          <w:szCs w:val="24"/>
        </w:rPr>
        <w:t>Wyjaśnienia treści specyfikacji istotnych warunków zamówienia (SIWZ)</w:t>
      </w:r>
    </w:p>
    <w:tbl>
      <w:tblPr>
        <w:tblW w:w="9072" w:type="dxa"/>
        <w:tblInd w:w="70"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6378"/>
      </w:tblGrid>
      <w:tr w:rsidR="00AA0A13" w:rsidRPr="00CE1920" w14:paraId="6C0A4390" w14:textId="77777777" w:rsidTr="00A226D6">
        <w:tc>
          <w:tcPr>
            <w:tcW w:w="2694" w:type="dxa"/>
            <w:vAlign w:val="center"/>
          </w:tcPr>
          <w:p w14:paraId="348FC9A5" w14:textId="77777777" w:rsidR="00AA0A13" w:rsidRPr="00CE1920" w:rsidRDefault="00AA0A13" w:rsidP="00A226D6">
            <w:pPr>
              <w:spacing w:before="60" w:after="60"/>
              <w:rPr>
                <w:i/>
                <w:iCs/>
              </w:rPr>
            </w:pPr>
            <w:r w:rsidRPr="00CE1920">
              <w:rPr>
                <w:i/>
                <w:iCs/>
              </w:rPr>
              <w:t>Termin wpływu wniosków</w:t>
            </w:r>
          </w:p>
        </w:tc>
        <w:tc>
          <w:tcPr>
            <w:tcW w:w="6378" w:type="dxa"/>
            <w:vAlign w:val="center"/>
          </w:tcPr>
          <w:p w14:paraId="0B378587" w14:textId="7B4AF976" w:rsidR="00AA0A13" w:rsidRPr="00CE1920" w:rsidRDefault="00BC307A" w:rsidP="00A226D6">
            <w:pPr>
              <w:pStyle w:val="Nagwek6"/>
              <w:spacing w:before="60" w:after="60"/>
              <w:rPr>
                <w:b/>
                <w:color w:val="000000"/>
                <w:sz w:val="22"/>
                <w:szCs w:val="22"/>
              </w:rPr>
            </w:pPr>
            <w:r>
              <w:rPr>
                <w:b/>
                <w:color w:val="000000"/>
                <w:sz w:val="22"/>
                <w:szCs w:val="22"/>
              </w:rPr>
              <w:t>15</w:t>
            </w:r>
            <w:r w:rsidR="00AA0A13">
              <w:rPr>
                <w:b/>
                <w:color w:val="000000"/>
                <w:sz w:val="22"/>
                <w:szCs w:val="22"/>
              </w:rPr>
              <w:t xml:space="preserve"> </w:t>
            </w:r>
            <w:r>
              <w:rPr>
                <w:b/>
                <w:color w:val="000000"/>
                <w:sz w:val="22"/>
                <w:szCs w:val="22"/>
              </w:rPr>
              <w:t>lipca</w:t>
            </w:r>
            <w:r w:rsidR="001D242F">
              <w:rPr>
                <w:b/>
                <w:color w:val="000000"/>
                <w:sz w:val="22"/>
                <w:szCs w:val="22"/>
              </w:rPr>
              <w:t xml:space="preserve"> </w:t>
            </w:r>
            <w:r w:rsidR="00AA0A13">
              <w:rPr>
                <w:b/>
                <w:color w:val="000000"/>
                <w:sz w:val="22"/>
                <w:szCs w:val="22"/>
              </w:rPr>
              <w:t xml:space="preserve">  </w:t>
            </w:r>
            <w:r w:rsidR="00AA0A13" w:rsidRPr="00CE1920">
              <w:rPr>
                <w:b/>
                <w:color w:val="000000"/>
                <w:sz w:val="22"/>
                <w:szCs w:val="22"/>
              </w:rPr>
              <w:t>20</w:t>
            </w:r>
            <w:r w:rsidR="00AA0A13">
              <w:rPr>
                <w:b/>
                <w:color w:val="000000"/>
                <w:sz w:val="22"/>
                <w:szCs w:val="22"/>
              </w:rPr>
              <w:t>21</w:t>
            </w:r>
            <w:r w:rsidR="00AA0A13" w:rsidRPr="00CE1920">
              <w:rPr>
                <w:b/>
                <w:color w:val="000000"/>
                <w:sz w:val="22"/>
                <w:szCs w:val="22"/>
              </w:rPr>
              <w:t xml:space="preserve"> r.</w:t>
            </w:r>
          </w:p>
        </w:tc>
      </w:tr>
      <w:tr w:rsidR="00AA0A13" w:rsidRPr="00CE1920" w14:paraId="054E1B5C" w14:textId="77777777" w:rsidTr="00A226D6">
        <w:tc>
          <w:tcPr>
            <w:tcW w:w="2694" w:type="dxa"/>
            <w:vAlign w:val="center"/>
          </w:tcPr>
          <w:p w14:paraId="60CEDC01" w14:textId="77777777" w:rsidR="00AA0A13" w:rsidRPr="00CE1920" w:rsidRDefault="00AA0A13" w:rsidP="00A226D6">
            <w:pPr>
              <w:spacing w:before="60" w:after="60"/>
              <w:rPr>
                <w:i/>
                <w:iCs/>
              </w:rPr>
            </w:pPr>
            <w:r w:rsidRPr="00CE1920">
              <w:rPr>
                <w:i/>
                <w:iCs/>
              </w:rPr>
              <w:t>Zamawiający</w:t>
            </w:r>
          </w:p>
        </w:tc>
        <w:tc>
          <w:tcPr>
            <w:tcW w:w="6378" w:type="dxa"/>
            <w:vAlign w:val="center"/>
          </w:tcPr>
          <w:p w14:paraId="7ADAF364" w14:textId="77777777" w:rsidR="00AA0A13" w:rsidRPr="00CE1920" w:rsidRDefault="00AA0A13" w:rsidP="00A226D6">
            <w:pPr>
              <w:pStyle w:val="Nagwek6"/>
              <w:spacing w:before="60"/>
              <w:rPr>
                <w:b/>
                <w:color w:val="000000"/>
                <w:sz w:val="22"/>
                <w:szCs w:val="22"/>
              </w:rPr>
            </w:pPr>
            <w:r w:rsidRPr="00CE1920">
              <w:rPr>
                <w:b/>
                <w:color w:val="000000"/>
                <w:sz w:val="22"/>
                <w:szCs w:val="22"/>
              </w:rPr>
              <w:t xml:space="preserve">Czysty Region Sp. z o. o. </w:t>
            </w:r>
          </w:p>
          <w:p w14:paraId="3CB84C26" w14:textId="77777777" w:rsidR="00AA0A13" w:rsidRPr="00CE1920" w:rsidRDefault="00AA0A13" w:rsidP="00A226D6">
            <w:pPr>
              <w:pStyle w:val="Nagwek6"/>
              <w:spacing w:after="60"/>
              <w:rPr>
                <w:color w:val="000000"/>
                <w:sz w:val="22"/>
                <w:szCs w:val="22"/>
              </w:rPr>
            </w:pPr>
            <w:r w:rsidRPr="00CE1920">
              <w:rPr>
                <w:color w:val="000000"/>
                <w:sz w:val="22"/>
                <w:szCs w:val="22"/>
              </w:rPr>
              <w:t>ul. Naftowa 7; 47-230 Kędzierzyn-Koźle</w:t>
            </w:r>
          </w:p>
        </w:tc>
      </w:tr>
      <w:tr w:rsidR="00AA0A13" w:rsidRPr="00CE1920" w14:paraId="4BC88892" w14:textId="77777777" w:rsidTr="00A226D6">
        <w:tc>
          <w:tcPr>
            <w:tcW w:w="2694" w:type="dxa"/>
            <w:vAlign w:val="center"/>
          </w:tcPr>
          <w:p w14:paraId="207C4BD3" w14:textId="77777777" w:rsidR="00AA0A13" w:rsidRPr="00CE1920" w:rsidRDefault="00AA0A13" w:rsidP="00A226D6">
            <w:pPr>
              <w:spacing w:before="60" w:after="60"/>
              <w:rPr>
                <w:i/>
                <w:iCs/>
              </w:rPr>
            </w:pPr>
            <w:r w:rsidRPr="00CE1920">
              <w:rPr>
                <w:i/>
                <w:iCs/>
              </w:rPr>
              <w:t>Nazwa zamówienia</w:t>
            </w:r>
          </w:p>
        </w:tc>
        <w:tc>
          <w:tcPr>
            <w:tcW w:w="6378" w:type="dxa"/>
            <w:vAlign w:val="center"/>
          </w:tcPr>
          <w:p w14:paraId="5B75A85B" w14:textId="5082BE32" w:rsidR="00AA0A13" w:rsidRPr="00631197" w:rsidRDefault="001A654C" w:rsidP="00A226D6">
            <w:pPr>
              <w:pStyle w:val="Nagwek6"/>
              <w:spacing w:before="60" w:after="60"/>
              <w:jc w:val="both"/>
              <w:rPr>
                <w:b/>
                <w:i/>
                <w:color w:val="000000" w:themeColor="text1"/>
                <w:sz w:val="22"/>
                <w:szCs w:val="22"/>
              </w:rPr>
            </w:pPr>
            <w:r w:rsidRPr="001A654C">
              <w:rPr>
                <w:rFonts w:ascii="Arial" w:hAnsi="Arial" w:cs="Arial"/>
                <w:b/>
                <w:i/>
              </w:rPr>
              <w:fldChar w:fldCharType="begin" w:fldLock="1"/>
            </w:r>
            <w:r w:rsidRPr="001A654C">
              <w:rPr>
                <w:rFonts w:ascii="Arial" w:hAnsi="Arial" w:cs="Arial"/>
                <w:b/>
                <w:i/>
              </w:rPr>
              <w:instrText xml:space="preserve"> INCLUDETEXT "../infobaza.doc" temat \* MERGEFORMAT </w:instrText>
            </w:r>
            <w:r w:rsidRPr="001A654C">
              <w:rPr>
                <w:rFonts w:ascii="Arial" w:hAnsi="Arial" w:cs="Arial"/>
                <w:b/>
                <w:i/>
              </w:rPr>
              <w:fldChar w:fldCharType="separate"/>
            </w:r>
            <w:bookmarkStart w:id="0" w:name="temat"/>
            <w:r w:rsidRPr="001A654C">
              <w:rPr>
                <w:rFonts w:ascii="Arial" w:hAnsi="Arial" w:cs="Arial"/>
                <w:b/>
                <w:i/>
              </w:rPr>
              <w:t>Dostawa dwóch pojazdów specjalnych typu śmieciarka w ramach leasingu operacyjnego</w:t>
            </w:r>
            <w:bookmarkEnd w:id="0"/>
            <w:r w:rsidRPr="001A654C">
              <w:rPr>
                <w:rFonts w:ascii="Arial" w:hAnsi="Arial" w:cs="Arial"/>
                <w:b/>
              </w:rPr>
              <w:fldChar w:fldCharType="end"/>
            </w:r>
          </w:p>
        </w:tc>
      </w:tr>
      <w:tr w:rsidR="00AA0A13" w:rsidRPr="00CE1920" w14:paraId="6C18DE07" w14:textId="77777777" w:rsidTr="00A226D6">
        <w:tc>
          <w:tcPr>
            <w:tcW w:w="2694" w:type="dxa"/>
            <w:vAlign w:val="center"/>
          </w:tcPr>
          <w:p w14:paraId="672C16E3" w14:textId="77777777" w:rsidR="00AA0A13" w:rsidRPr="00CE1920" w:rsidRDefault="00AA0A13" w:rsidP="00A226D6">
            <w:pPr>
              <w:spacing w:before="60" w:after="60"/>
              <w:rPr>
                <w:i/>
              </w:rPr>
            </w:pPr>
            <w:r w:rsidRPr="00CE1920">
              <w:rPr>
                <w:i/>
                <w:iCs/>
              </w:rPr>
              <w:t>Znak sprawy</w:t>
            </w:r>
          </w:p>
        </w:tc>
        <w:tc>
          <w:tcPr>
            <w:tcW w:w="6378" w:type="dxa"/>
            <w:vAlign w:val="center"/>
          </w:tcPr>
          <w:p w14:paraId="2176F81B" w14:textId="6D2A5C92" w:rsidR="00AA0A13" w:rsidRPr="00CE1920" w:rsidRDefault="00AA0A13" w:rsidP="00A226D6">
            <w:pPr>
              <w:pStyle w:val="Nagwek6"/>
              <w:spacing w:before="60" w:after="60"/>
              <w:rPr>
                <w:i/>
                <w:color w:val="000000"/>
                <w:sz w:val="22"/>
                <w:szCs w:val="22"/>
              </w:rPr>
            </w:pPr>
            <w:r w:rsidRPr="00CE1920">
              <w:rPr>
                <w:i/>
                <w:color w:val="000000"/>
                <w:sz w:val="22"/>
                <w:szCs w:val="22"/>
              </w:rPr>
              <w:t>CR.271.</w:t>
            </w:r>
            <w:r w:rsidR="001D242F">
              <w:rPr>
                <w:i/>
                <w:color w:val="000000"/>
                <w:sz w:val="22"/>
                <w:szCs w:val="22"/>
              </w:rPr>
              <w:t>12</w:t>
            </w:r>
            <w:r>
              <w:rPr>
                <w:i/>
                <w:color w:val="000000"/>
                <w:sz w:val="22"/>
                <w:szCs w:val="22"/>
              </w:rPr>
              <w:t>.</w:t>
            </w:r>
            <w:r w:rsidRPr="00CE1920">
              <w:rPr>
                <w:i/>
                <w:color w:val="000000"/>
                <w:sz w:val="22"/>
                <w:szCs w:val="22"/>
              </w:rPr>
              <w:t>20</w:t>
            </w:r>
            <w:r>
              <w:rPr>
                <w:i/>
                <w:color w:val="000000"/>
                <w:sz w:val="22"/>
                <w:szCs w:val="22"/>
              </w:rPr>
              <w:t>21</w:t>
            </w:r>
          </w:p>
        </w:tc>
      </w:tr>
    </w:tbl>
    <w:p w14:paraId="110A918E" w14:textId="77777777" w:rsidR="00AA0A13" w:rsidRPr="00CE1920" w:rsidRDefault="00AA0A13" w:rsidP="00AA0A13">
      <w:pPr>
        <w:spacing w:before="240" w:after="240"/>
      </w:pPr>
      <w:r w:rsidRPr="00CE1920">
        <w:t>Zamawiający udziela wyjaśnień dotyczących treści SIWZ, zgodnie z wymogiem art. </w:t>
      </w:r>
      <w:r>
        <w:t>135</w:t>
      </w:r>
      <w:r w:rsidRPr="00CE1920">
        <w:t xml:space="preserve"> ustawy z dnia </w:t>
      </w:r>
      <w:r>
        <w:t>11</w:t>
      </w:r>
      <w:r w:rsidRPr="00CE1920">
        <w:t xml:space="preserve"> </w:t>
      </w:r>
      <w:r>
        <w:t>września 2019</w:t>
      </w:r>
      <w:r w:rsidRPr="00CE1920">
        <w:t xml:space="preserve"> roku Prawo zamówień publicznych (zwanej dalej ustawą PZP).</w:t>
      </w:r>
    </w:p>
    <w:tbl>
      <w:tblPr>
        <w:tblW w:w="0" w:type="auto"/>
        <w:tblInd w:w="108" w:type="dxa"/>
        <w:tblBorders>
          <w:top w:val="single" w:sz="4" w:space="0" w:color="auto"/>
          <w:bottom w:val="single" w:sz="4" w:space="0" w:color="auto"/>
          <w:insideV w:val="single" w:sz="4" w:space="0" w:color="auto"/>
        </w:tblBorders>
        <w:tblLook w:val="04A0" w:firstRow="1" w:lastRow="0" w:firstColumn="1" w:lastColumn="0" w:noHBand="0" w:noVBand="1"/>
      </w:tblPr>
      <w:tblGrid>
        <w:gridCol w:w="8964"/>
      </w:tblGrid>
      <w:tr w:rsidR="00AA0A13" w:rsidRPr="00CE1920" w14:paraId="19662782" w14:textId="77777777" w:rsidTr="00A226D6">
        <w:tc>
          <w:tcPr>
            <w:tcW w:w="9179" w:type="dxa"/>
            <w:tcBorders>
              <w:top w:val="single" w:sz="4" w:space="0" w:color="auto"/>
              <w:bottom w:val="dashSmallGap" w:sz="4" w:space="0" w:color="auto"/>
            </w:tcBorders>
          </w:tcPr>
          <w:p w14:paraId="5D7EB459" w14:textId="30B17394" w:rsidR="00AA0A13" w:rsidRPr="00CE1920" w:rsidRDefault="00AA0A13" w:rsidP="00A226D6">
            <w:pPr>
              <w:spacing w:before="120" w:after="60"/>
            </w:pPr>
            <w:r w:rsidRPr="00CE1920">
              <w:t xml:space="preserve">Wniosek </w:t>
            </w:r>
            <w:r w:rsidR="00933024">
              <w:t>4.20</w:t>
            </w:r>
          </w:p>
          <w:p w14:paraId="1808BBDA" w14:textId="77777777" w:rsidR="00BC307A" w:rsidRPr="00BC307A" w:rsidRDefault="00BC307A" w:rsidP="00BC307A">
            <w:pPr>
              <w:spacing w:after="120"/>
              <w:rPr>
                <w:b w:val="0"/>
                <w:i/>
                <w:sz w:val="20"/>
                <w:szCs w:val="20"/>
              </w:rPr>
            </w:pPr>
            <w:r w:rsidRPr="00BC307A">
              <w:rPr>
                <w:b w:val="0"/>
                <w:i/>
                <w:sz w:val="20"/>
                <w:szCs w:val="20"/>
              </w:rPr>
              <w:t>Tabela 4 – Wymagane parametry minimalne zabudowy</w:t>
            </w:r>
          </w:p>
          <w:p w14:paraId="221B6773" w14:textId="77777777" w:rsidR="00BC307A" w:rsidRPr="00BC307A" w:rsidRDefault="00BC307A" w:rsidP="00BC307A">
            <w:pPr>
              <w:spacing w:after="120"/>
              <w:rPr>
                <w:b w:val="0"/>
                <w:i/>
                <w:sz w:val="20"/>
                <w:szCs w:val="20"/>
              </w:rPr>
            </w:pPr>
            <w:r w:rsidRPr="00BC307A">
              <w:rPr>
                <w:b w:val="0"/>
                <w:i/>
                <w:sz w:val="20"/>
                <w:szCs w:val="20"/>
              </w:rPr>
              <w:t>Dot. pkt. 3 Wanna załadunkowa wykonana z blachy o grubości dna min. 6 mm i bokach oraz dachu o grubości min. 3 mm.</w:t>
            </w:r>
          </w:p>
          <w:p w14:paraId="105C64AC" w14:textId="77777777" w:rsidR="00BC307A" w:rsidRPr="00BC307A" w:rsidRDefault="00BC307A" w:rsidP="00BC307A">
            <w:pPr>
              <w:spacing w:after="120"/>
              <w:rPr>
                <w:b w:val="0"/>
                <w:i/>
                <w:sz w:val="20"/>
                <w:szCs w:val="20"/>
              </w:rPr>
            </w:pPr>
            <w:r w:rsidRPr="00BC307A">
              <w:rPr>
                <w:b w:val="0"/>
                <w:i/>
                <w:sz w:val="20"/>
                <w:szCs w:val="20"/>
              </w:rPr>
              <w:t>Pytanie: Czy Zamawiający dopuści dostawę pojazdu z wanną załadunkową wykonaną z blachy trudnościeralnej o gr. 5 mm.</w:t>
            </w:r>
          </w:p>
          <w:p w14:paraId="60D9AA46" w14:textId="438ECF4F" w:rsidR="00AA0A13" w:rsidRPr="00631197" w:rsidRDefault="00BC307A" w:rsidP="00BC307A">
            <w:pPr>
              <w:spacing w:after="120"/>
              <w:rPr>
                <w:b w:val="0"/>
                <w:i/>
                <w:sz w:val="20"/>
                <w:szCs w:val="20"/>
              </w:rPr>
            </w:pPr>
            <w:r w:rsidRPr="00BC307A">
              <w:rPr>
                <w:b w:val="0"/>
                <w:i/>
                <w:sz w:val="20"/>
                <w:szCs w:val="20"/>
              </w:rPr>
              <w:t>Uzasadnienie: Oferowane przez nas zabudowy posiadają jarzmowy system zgniotu. Zastosowanie takiego rozwiązania nie wymaga stosowania aż tak grubych blach, które są wymagane przez Zamawiającego. Rozwiązanie takie przyczyni się do zmniejszenia masy własnej pojazdu, powodując tym samym zwiększenia ilości przewożonych odpadów.</w:t>
            </w:r>
          </w:p>
        </w:tc>
      </w:tr>
      <w:tr w:rsidR="00AA0A13" w:rsidRPr="00CE1920" w14:paraId="3363EC47" w14:textId="77777777" w:rsidTr="00A226D6">
        <w:tc>
          <w:tcPr>
            <w:tcW w:w="9179" w:type="dxa"/>
            <w:tcBorders>
              <w:top w:val="dashSmallGap" w:sz="4" w:space="0" w:color="auto"/>
              <w:bottom w:val="single" w:sz="12" w:space="0" w:color="auto"/>
            </w:tcBorders>
          </w:tcPr>
          <w:p w14:paraId="7F06652A" w14:textId="663741FE" w:rsidR="00AA0A13" w:rsidRPr="003B3365" w:rsidRDefault="002B65B6" w:rsidP="00A226D6">
            <w:pPr>
              <w:spacing w:before="60" w:after="60"/>
              <w:jc w:val="both"/>
              <w:rPr>
                <w:sz w:val="20"/>
                <w:szCs w:val="20"/>
              </w:rPr>
            </w:pPr>
            <w:r>
              <w:rPr>
                <w:sz w:val="20"/>
                <w:szCs w:val="20"/>
              </w:rPr>
              <w:t>TAK</w:t>
            </w:r>
          </w:p>
        </w:tc>
      </w:tr>
    </w:tbl>
    <w:p w14:paraId="1B6C288D" w14:textId="77777777" w:rsidR="00AA0A13" w:rsidRPr="00CE1920" w:rsidRDefault="00AA0A13" w:rsidP="00AA0A13">
      <w:pPr>
        <w:rPr>
          <w:sz w:val="16"/>
          <w:szCs w:val="16"/>
        </w:rPr>
      </w:pPr>
    </w:p>
    <w:tbl>
      <w:tblPr>
        <w:tblW w:w="0" w:type="auto"/>
        <w:tblInd w:w="108" w:type="dxa"/>
        <w:tblBorders>
          <w:top w:val="single" w:sz="4" w:space="0" w:color="auto"/>
          <w:bottom w:val="single" w:sz="4" w:space="0" w:color="auto"/>
          <w:insideV w:val="single" w:sz="4" w:space="0" w:color="auto"/>
        </w:tblBorders>
        <w:tblLook w:val="04A0" w:firstRow="1" w:lastRow="0" w:firstColumn="1" w:lastColumn="0" w:noHBand="0" w:noVBand="1"/>
      </w:tblPr>
      <w:tblGrid>
        <w:gridCol w:w="8964"/>
      </w:tblGrid>
      <w:tr w:rsidR="00AA0A13" w:rsidRPr="00CE1920" w14:paraId="14DF7D89" w14:textId="77777777" w:rsidTr="00A226D6">
        <w:tc>
          <w:tcPr>
            <w:tcW w:w="9179" w:type="dxa"/>
            <w:tcBorders>
              <w:top w:val="single" w:sz="4" w:space="0" w:color="auto"/>
              <w:bottom w:val="dashSmallGap" w:sz="4" w:space="0" w:color="auto"/>
            </w:tcBorders>
          </w:tcPr>
          <w:p w14:paraId="1F5C6B03" w14:textId="445E4AF1" w:rsidR="00AA0A13" w:rsidRPr="00CE1920" w:rsidRDefault="00AA0A13" w:rsidP="00A226D6">
            <w:pPr>
              <w:spacing w:before="120" w:after="60"/>
            </w:pPr>
            <w:r w:rsidRPr="00CE1920">
              <w:t xml:space="preserve">Wniosek </w:t>
            </w:r>
            <w:r w:rsidR="00933024">
              <w:t>4.21</w:t>
            </w:r>
          </w:p>
          <w:p w14:paraId="62EE377D" w14:textId="77777777" w:rsidR="00BC307A" w:rsidRPr="00BC307A" w:rsidRDefault="00BC307A" w:rsidP="00BC307A">
            <w:pPr>
              <w:spacing w:after="120"/>
              <w:jc w:val="both"/>
              <w:rPr>
                <w:b w:val="0"/>
                <w:i/>
                <w:sz w:val="20"/>
                <w:szCs w:val="20"/>
              </w:rPr>
            </w:pPr>
            <w:r w:rsidRPr="00BC307A">
              <w:rPr>
                <w:b w:val="0"/>
                <w:i/>
                <w:sz w:val="20"/>
                <w:szCs w:val="20"/>
              </w:rPr>
              <w:t>Dot. pkt. 5 Mechanizm zgniatania liniowo-płytowy (szufladowy) lub zamontowany do odwłoka za pomocą sworzni.</w:t>
            </w:r>
          </w:p>
          <w:p w14:paraId="67D3987D" w14:textId="77777777" w:rsidR="00BC307A" w:rsidRPr="00BC307A" w:rsidRDefault="00BC307A" w:rsidP="00BC307A">
            <w:pPr>
              <w:spacing w:after="120"/>
              <w:jc w:val="both"/>
              <w:rPr>
                <w:b w:val="0"/>
                <w:i/>
                <w:sz w:val="20"/>
                <w:szCs w:val="20"/>
              </w:rPr>
            </w:pPr>
            <w:r w:rsidRPr="00BC307A">
              <w:rPr>
                <w:b w:val="0"/>
                <w:i/>
                <w:sz w:val="20"/>
                <w:szCs w:val="20"/>
              </w:rPr>
              <w:t>Pytanie: Czy Zamawiający dopuści dostawę pojazdów wyposażonych w zabudowy z mechanizmem zgniatania odpadów „jarzmowym”?</w:t>
            </w:r>
          </w:p>
          <w:p w14:paraId="37821800" w14:textId="3B8DEAB2" w:rsidR="00AA0A13" w:rsidRPr="00CE1920" w:rsidRDefault="00BC307A" w:rsidP="00BC307A">
            <w:pPr>
              <w:spacing w:after="120"/>
              <w:jc w:val="both"/>
              <w:rPr>
                <w:b w:val="0"/>
                <w:i/>
                <w:sz w:val="20"/>
                <w:szCs w:val="20"/>
              </w:rPr>
            </w:pPr>
            <w:r w:rsidRPr="00BC307A">
              <w:rPr>
                <w:b w:val="0"/>
                <w:i/>
                <w:sz w:val="20"/>
                <w:szCs w:val="20"/>
              </w:rPr>
              <w:t>Uzasadnienie: System ten zapewnia lepszy zgniot przewożonych odpadów i znacznie wydłuża cykl życia zabudowy, z uwagi na mniejsze ścieranie się wanny (podłogi) w odwłoku.</w:t>
            </w:r>
          </w:p>
        </w:tc>
      </w:tr>
      <w:tr w:rsidR="00AA0A13" w:rsidRPr="00CE1920" w14:paraId="0DE8B151" w14:textId="77777777" w:rsidTr="00A226D6">
        <w:tc>
          <w:tcPr>
            <w:tcW w:w="9179" w:type="dxa"/>
            <w:tcBorders>
              <w:top w:val="dashSmallGap" w:sz="4" w:space="0" w:color="auto"/>
              <w:bottom w:val="single" w:sz="12" w:space="0" w:color="auto"/>
            </w:tcBorders>
          </w:tcPr>
          <w:p w14:paraId="5CDFB9D3" w14:textId="28862C00" w:rsidR="00AA0A13" w:rsidRPr="003B3365" w:rsidRDefault="002B65B6" w:rsidP="00A226D6">
            <w:pPr>
              <w:spacing w:before="60" w:after="60"/>
              <w:jc w:val="both"/>
              <w:rPr>
                <w:sz w:val="20"/>
                <w:szCs w:val="20"/>
              </w:rPr>
            </w:pPr>
            <w:r>
              <w:rPr>
                <w:sz w:val="20"/>
                <w:szCs w:val="20"/>
              </w:rPr>
              <w:t>NIE</w:t>
            </w:r>
          </w:p>
        </w:tc>
      </w:tr>
    </w:tbl>
    <w:p w14:paraId="68A3E33A" w14:textId="77777777" w:rsidR="00AA0A13" w:rsidRDefault="00AA0A13" w:rsidP="00AA0A13">
      <w:pPr>
        <w:rPr>
          <w:sz w:val="16"/>
          <w:szCs w:val="16"/>
        </w:rPr>
      </w:pPr>
      <w:bookmarkStart w:id="1" w:name="_Hlk70406176"/>
    </w:p>
    <w:tbl>
      <w:tblPr>
        <w:tblW w:w="0" w:type="auto"/>
        <w:tblInd w:w="108" w:type="dxa"/>
        <w:tblBorders>
          <w:top w:val="single" w:sz="4" w:space="0" w:color="auto"/>
          <w:bottom w:val="single" w:sz="4" w:space="0" w:color="auto"/>
          <w:insideV w:val="single" w:sz="4" w:space="0" w:color="auto"/>
        </w:tblBorders>
        <w:tblLook w:val="04A0" w:firstRow="1" w:lastRow="0" w:firstColumn="1" w:lastColumn="0" w:noHBand="0" w:noVBand="1"/>
      </w:tblPr>
      <w:tblGrid>
        <w:gridCol w:w="8964"/>
      </w:tblGrid>
      <w:tr w:rsidR="00AA0A13" w:rsidRPr="00CE1920" w14:paraId="73306F07" w14:textId="77777777" w:rsidTr="001A654C">
        <w:tc>
          <w:tcPr>
            <w:tcW w:w="8964" w:type="dxa"/>
            <w:tcBorders>
              <w:top w:val="single" w:sz="4" w:space="0" w:color="auto"/>
              <w:bottom w:val="dashSmallGap" w:sz="4" w:space="0" w:color="auto"/>
            </w:tcBorders>
          </w:tcPr>
          <w:p w14:paraId="72510966" w14:textId="7618D0EB" w:rsidR="00AA0A13" w:rsidRPr="00CE1920" w:rsidRDefault="00AA0A13" w:rsidP="00A226D6">
            <w:pPr>
              <w:spacing w:before="120" w:after="60"/>
            </w:pPr>
            <w:r w:rsidRPr="00CE1920">
              <w:t xml:space="preserve">Wniosek </w:t>
            </w:r>
            <w:r w:rsidR="00933024">
              <w:t>4.22</w:t>
            </w:r>
          </w:p>
          <w:p w14:paraId="32ABFF1C" w14:textId="77777777" w:rsidR="00BC307A" w:rsidRPr="00BC307A" w:rsidRDefault="00BC307A" w:rsidP="00BC307A">
            <w:pPr>
              <w:spacing w:after="120"/>
              <w:rPr>
                <w:b w:val="0"/>
                <w:i/>
                <w:sz w:val="20"/>
                <w:szCs w:val="20"/>
              </w:rPr>
            </w:pPr>
            <w:r w:rsidRPr="00BC307A">
              <w:rPr>
                <w:b w:val="0"/>
                <w:i/>
                <w:sz w:val="20"/>
                <w:szCs w:val="20"/>
              </w:rPr>
              <w:t>Inne wymagania:</w:t>
            </w:r>
          </w:p>
          <w:p w14:paraId="0B66B5FC" w14:textId="77777777" w:rsidR="00BC307A" w:rsidRPr="00BC307A" w:rsidRDefault="00BC307A" w:rsidP="00BC307A">
            <w:pPr>
              <w:spacing w:after="120"/>
              <w:rPr>
                <w:b w:val="0"/>
                <w:i/>
                <w:sz w:val="20"/>
                <w:szCs w:val="20"/>
              </w:rPr>
            </w:pPr>
            <w:r w:rsidRPr="00BC307A">
              <w:rPr>
                <w:b w:val="0"/>
                <w:i/>
                <w:sz w:val="20"/>
                <w:szCs w:val="20"/>
              </w:rPr>
              <w:t xml:space="preserve">• dwa stopnie dla ładowaczy wraz z czujnikami automatycznie informującymi kierowcę o tym który stopień jest zajęty oraz dającymi możliwość ograniczenia prędkości do 30 km/h, uniemożliwienia manewru cofania pojazdu i rozłączenia układu ugniatania; </w:t>
            </w:r>
          </w:p>
          <w:p w14:paraId="7E602BBB" w14:textId="7E65F1A2" w:rsidR="00BC307A" w:rsidRDefault="00BC307A" w:rsidP="00BC307A">
            <w:pPr>
              <w:spacing w:after="120"/>
              <w:rPr>
                <w:b w:val="0"/>
                <w:i/>
                <w:sz w:val="20"/>
                <w:szCs w:val="20"/>
              </w:rPr>
            </w:pPr>
            <w:r w:rsidRPr="00BC307A">
              <w:rPr>
                <w:b w:val="0"/>
                <w:i/>
                <w:sz w:val="20"/>
                <w:szCs w:val="20"/>
              </w:rPr>
              <w:t>Pytanie: Czy Zamawiający dopuści system informacji kierowcy  o zajętych  stopniach bez podania który to stopień?</w:t>
            </w:r>
          </w:p>
          <w:p w14:paraId="27F3D3E8" w14:textId="0F29DFAD" w:rsidR="002B65B6" w:rsidRPr="00BC307A" w:rsidRDefault="002B65B6" w:rsidP="00BC307A">
            <w:pPr>
              <w:spacing w:after="120"/>
              <w:rPr>
                <w:b w:val="0"/>
                <w:i/>
                <w:sz w:val="20"/>
                <w:szCs w:val="20"/>
              </w:rPr>
            </w:pPr>
            <w:r>
              <w:rPr>
                <w:b w:val="0"/>
                <w:i/>
                <w:sz w:val="20"/>
                <w:szCs w:val="20"/>
              </w:rPr>
              <w:t>TAK</w:t>
            </w:r>
          </w:p>
          <w:p w14:paraId="4A7AA510" w14:textId="77777777" w:rsidR="00BC307A" w:rsidRPr="00BC307A" w:rsidRDefault="00BC307A" w:rsidP="00BC307A">
            <w:pPr>
              <w:spacing w:after="120"/>
              <w:rPr>
                <w:b w:val="0"/>
                <w:i/>
                <w:sz w:val="20"/>
                <w:szCs w:val="20"/>
              </w:rPr>
            </w:pPr>
            <w:r w:rsidRPr="00BC307A">
              <w:rPr>
                <w:b w:val="0"/>
                <w:i/>
                <w:sz w:val="20"/>
                <w:szCs w:val="20"/>
              </w:rPr>
              <w:t>• krawędź załadowcza wyrzutnika nie wyżej niż 1500 mm.</w:t>
            </w:r>
          </w:p>
          <w:p w14:paraId="29E28C63" w14:textId="5E1B21AA" w:rsidR="00AA0A13" w:rsidRPr="00CE1920" w:rsidRDefault="00BC307A" w:rsidP="00BC307A">
            <w:pPr>
              <w:spacing w:after="120"/>
              <w:rPr>
                <w:b w:val="0"/>
                <w:i/>
                <w:sz w:val="20"/>
                <w:szCs w:val="20"/>
              </w:rPr>
            </w:pPr>
            <w:r w:rsidRPr="00BC307A">
              <w:rPr>
                <w:b w:val="0"/>
                <w:i/>
                <w:sz w:val="20"/>
                <w:szCs w:val="20"/>
              </w:rPr>
              <w:lastRenderedPageBreak/>
              <w:t xml:space="preserve">Pytanie: Czy Zamawiający dopuści zabudowę z krawędzią </w:t>
            </w:r>
            <w:proofErr w:type="spellStart"/>
            <w:r w:rsidRPr="00BC307A">
              <w:rPr>
                <w:b w:val="0"/>
                <w:i/>
                <w:sz w:val="20"/>
                <w:szCs w:val="20"/>
              </w:rPr>
              <w:t>wrzutnika</w:t>
            </w:r>
            <w:proofErr w:type="spellEnd"/>
            <w:r w:rsidRPr="00BC307A">
              <w:rPr>
                <w:b w:val="0"/>
                <w:i/>
                <w:sz w:val="20"/>
                <w:szCs w:val="20"/>
              </w:rPr>
              <w:t xml:space="preserve"> 1600 mm  przy załadunku mechanicznym  pojemników  z odpadami. Natomiast przy załadunku manualnym gabarytów oraz worków po otwarciu klapy </w:t>
            </w:r>
            <w:proofErr w:type="spellStart"/>
            <w:r w:rsidRPr="00BC307A">
              <w:rPr>
                <w:b w:val="0"/>
                <w:i/>
                <w:sz w:val="20"/>
                <w:szCs w:val="20"/>
              </w:rPr>
              <w:t>wrzutnika</w:t>
            </w:r>
            <w:proofErr w:type="spellEnd"/>
            <w:r w:rsidRPr="00BC307A">
              <w:rPr>
                <w:b w:val="0"/>
                <w:i/>
                <w:sz w:val="20"/>
                <w:szCs w:val="20"/>
              </w:rPr>
              <w:t xml:space="preserve"> wysokość krawędzi wynosi 1200 mm?</w:t>
            </w:r>
          </w:p>
        </w:tc>
      </w:tr>
      <w:bookmarkEnd w:id="1"/>
      <w:tr w:rsidR="00841C1F" w:rsidRPr="00CE1920" w14:paraId="355E8D72" w14:textId="77777777" w:rsidTr="00841C1F">
        <w:tc>
          <w:tcPr>
            <w:tcW w:w="8964" w:type="dxa"/>
            <w:tcBorders>
              <w:top w:val="dashSmallGap" w:sz="4" w:space="0" w:color="auto"/>
              <w:bottom w:val="single" w:sz="12" w:space="0" w:color="auto"/>
            </w:tcBorders>
          </w:tcPr>
          <w:p w14:paraId="5CB20B0B" w14:textId="3EA2961F" w:rsidR="00841C1F" w:rsidRPr="003B3365" w:rsidRDefault="002B65B6" w:rsidP="00925094">
            <w:pPr>
              <w:spacing w:before="60" w:after="60"/>
              <w:jc w:val="both"/>
              <w:rPr>
                <w:sz w:val="20"/>
                <w:szCs w:val="20"/>
              </w:rPr>
            </w:pPr>
            <w:r>
              <w:rPr>
                <w:sz w:val="20"/>
                <w:szCs w:val="20"/>
              </w:rPr>
              <w:lastRenderedPageBreak/>
              <w:t>TAK</w:t>
            </w:r>
          </w:p>
        </w:tc>
      </w:tr>
    </w:tbl>
    <w:p w14:paraId="1FF01765" w14:textId="77777777" w:rsidR="000F3544" w:rsidRDefault="000F3544" w:rsidP="00841C1F"/>
    <w:sectPr w:rsidR="000F3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52A62"/>
    <w:multiLevelType w:val="hybridMultilevel"/>
    <w:tmpl w:val="0DC6E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13"/>
    <w:rsid w:val="000C57B0"/>
    <w:rsid w:val="000F3544"/>
    <w:rsid w:val="00142D58"/>
    <w:rsid w:val="001A654C"/>
    <w:rsid w:val="001D242F"/>
    <w:rsid w:val="00245B98"/>
    <w:rsid w:val="002B65B6"/>
    <w:rsid w:val="00362371"/>
    <w:rsid w:val="00374560"/>
    <w:rsid w:val="004411FE"/>
    <w:rsid w:val="004D3BBF"/>
    <w:rsid w:val="006F7E79"/>
    <w:rsid w:val="007027AE"/>
    <w:rsid w:val="0076343B"/>
    <w:rsid w:val="00841C1F"/>
    <w:rsid w:val="00933024"/>
    <w:rsid w:val="00A21361"/>
    <w:rsid w:val="00AA0A13"/>
    <w:rsid w:val="00AC1AC2"/>
    <w:rsid w:val="00B3175F"/>
    <w:rsid w:val="00BC307A"/>
    <w:rsid w:val="00C9342C"/>
    <w:rsid w:val="00F21476"/>
    <w:rsid w:val="00F81C88"/>
    <w:rsid w:val="00FA2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FBA9"/>
  <w15:chartTrackingRefBased/>
  <w15:docId w15:val="{2877E521-A517-40D0-BADC-AF550E07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0A13"/>
    <w:pPr>
      <w:spacing w:after="0" w:line="240" w:lineRule="auto"/>
    </w:pPr>
    <w:rPr>
      <w:rFonts w:ascii="Calibri" w:eastAsia="Times New Roman" w:hAnsi="Calibri" w:cs="Calibri"/>
      <w:b/>
      <w:lang w:eastAsia="pl-PL"/>
    </w:rPr>
  </w:style>
  <w:style w:type="paragraph" w:styleId="Nagwek6">
    <w:name w:val="heading 6"/>
    <w:basedOn w:val="Normalny"/>
    <w:next w:val="Normalny"/>
    <w:link w:val="Nagwek6Znak"/>
    <w:qFormat/>
    <w:rsid w:val="00AA0A13"/>
    <w:pPr>
      <w:keepNext/>
      <w:outlineLvl w:val="5"/>
    </w:pPr>
    <w:rPr>
      <w:b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AA0A13"/>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327</Words>
  <Characters>1964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Grzegorz Mankiewicz</cp:lastModifiedBy>
  <cp:revision>2</cp:revision>
  <cp:lastPrinted>2021-04-30T11:35:00Z</cp:lastPrinted>
  <dcterms:created xsi:type="dcterms:W3CDTF">2021-07-19T11:52:00Z</dcterms:created>
  <dcterms:modified xsi:type="dcterms:W3CDTF">2021-07-19T11:52:00Z</dcterms:modified>
</cp:coreProperties>
</file>